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1967" w14:textId="0DBC0228" w:rsidR="004F06D7" w:rsidRPr="000279B9" w:rsidRDefault="007D6CEB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1"/>
      <w:bookmarkStart w:id="1" w:name="_GoBack"/>
      <w:bookmarkEnd w:id="1"/>
      <w:r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r w:rsidR="000279B9"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bookmarkEnd w:id="0"/>
    </w:p>
    <w:p w14:paraId="1085E2F4" w14:textId="6C11F7F9" w:rsidR="00E168E3" w:rsidRPr="000279B9" w:rsidRDefault="00E168E3" w:rsidP="00E168E3">
      <w:r w:rsidRPr="000279B9">
        <w:t xml:space="preserve">*Anexo atualizado pelo Anexo XII da Resolução Conjunta </w:t>
      </w:r>
      <w:proofErr w:type="spellStart"/>
      <w:r w:rsidRPr="000279B9">
        <w:t>Segov</w:t>
      </w:r>
      <w:proofErr w:type="spellEnd"/>
      <w:r w:rsidRPr="000279B9">
        <w:t>/Age nº 001/2021</w:t>
      </w:r>
      <w:r w:rsidRPr="000279B9">
        <w:br/>
        <w:t>** Em vigor a partir de 01/08/2021</w:t>
      </w:r>
    </w:p>
    <w:p w14:paraId="29A8C029" w14:textId="03BA3412" w:rsidR="00A92EA1" w:rsidRPr="00744DEC" w:rsidRDefault="00A92EA1" w:rsidP="00A92E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A92EA1" w:rsidRPr="00B86520" w14:paraId="5BFE7D67" w14:textId="77777777" w:rsidTr="00A92EA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9E0BB5D" w14:textId="6E4AB376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D80A9C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AMPLIAÇÃO DO OBJETO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</w:p>
        </w:tc>
      </w:tr>
      <w:tr w:rsidR="00A92EA1" w:rsidRPr="00B86520" w14:paraId="08C7CE95" w14:textId="77777777" w:rsidTr="00A92EA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D1DBC26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42C4A1A8" w14:textId="77777777" w:rsidTr="00A92EA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44CD64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E7754AC" w14:textId="77777777" w:rsidTr="00A92EA1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14:paraId="0C7A714B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14:paraId="5058F3C1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7F8C2513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5F84A4A" w14:textId="77777777" w:rsidTr="00A92EA1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14:paraId="02F80D40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14:paraId="0120FDA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69AFF2B8" w14:textId="67386F4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C45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" w:shapeid="_x0000_i1029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14:paraId="1DFF61C5" w14:textId="5457EE8D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5F967238">
                <v:shape id="_x0000_i1031" type="#_x0000_t75" style="width:67.5pt;height:18pt" o:ole="">
                  <v:imagedata r:id="rId10" o:title=""/>
                </v:shape>
                <w:control r:id="rId11" w:name="OptionButton21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14:paraId="69567CA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C531B55" w14:textId="77777777" w:rsidTr="00A92EA1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14:paraId="1146C0E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14:paraId="6262B3A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7F93232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4AB850F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1C068D1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25E724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A92EA1" w:rsidRPr="00B86520" w14:paraId="215481D0" w14:textId="77777777" w:rsidTr="00A92EA1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4C6A4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966DA1" w14:textId="77777777" w:rsidR="00A92EA1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2EF87DAD" w14:textId="77777777" w:rsidR="00A92EA1" w:rsidRPr="0065540B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A14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B36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93731A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57840A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65580B17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4BEE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BD864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94A9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9F8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9D0E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DCF50B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5CF938B4" w14:textId="77777777" w:rsidTr="00A92EA1">
        <w:trPr>
          <w:trHeight w:val="378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E5B4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19308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A26FB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F0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7C1ABF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61ACB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66223D3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143E1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5FD8F" w14:textId="0D79CE34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4444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D233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3E7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421F4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B64AD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403BC66" w14:textId="77777777" w:rsidTr="00A92EA1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0529F4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272705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0B93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667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171B38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20063D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262C182F" w14:textId="77777777" w:rsidTr="00A92EA1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F67D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FE504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1CDF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DB1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9EFC5E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8883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51EC60DD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A899FF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873B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A92EA1" w:rsidRPr="00B86520" w14:paraId="22AFBC65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CE4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DC059" w14:textId="77777777" w:rsidR="00A92EA1" w:rsidRPr="00004E88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E04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351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3CDEA9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DADE17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4A6E4151" w14:textId="77777777" w:rsidTr="00A92EA1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B359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31BC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A92EA1" w:rsidRPr="00B86520" w14:paraId="2CAB02F2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CCA2F6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4655F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DB6DDF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1DB9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CD7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3AB6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112E36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60DE3B5F" w14:textId="77777777" w:rsidTr="00A92EA1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9CC28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E05D63" w14:textId="77777777" w:rsidR="00A92EA1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6B615A" w14:textId="77777777" w:rsidR="00A92EA1" w:rsidRPr="00B86520" w:rsidRDefault="00A92EA1" w:rsidP="00A92EA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3F0104D7" w14:textId="27529562" w:rsidR="00A92EA1" w:rsidRPr="00DB6DDF" w:rsidRDefault="00A92EA1" w:rsidP="00DB6DDF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3782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7E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8E460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20440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173292F4" w14:textId="77777777" w:rsidTr="00A92EA1">
        <w:trPr>
          <w:trHeight w:val="40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897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FA076" w14:textId="07C9223A" w:rsidR="00A92EA1" w:rsidRPr="007F350C" w:rsidRDefault="00B44444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44444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A92EA1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A92EA1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92EA1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A92EA1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EB8E6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06D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AE9745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921F7F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B941627" w14:textId="77777777" w:rsidTr="00A92EA1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3C546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F1BB5" w14:textId="77777777" w:rsidR="00A92EA1" w:rsidRPr="00B86520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6C73E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833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E84D23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88042E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8CA9C50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FC64A" w14:textId="40C98A68" w:rsidR="00254195" w:rsidRDefault="00254195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</w:t>
            </w:r>
            <w:r w:rsidR="00A92EA1"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, </w:t>
            </w:r>
          </w:p>
          <w:p w14:paraId="4B229568" w14:textId="0063EE76" w:rsidR="00A92EA1" w:rsidRPr="007F350C" w:rsidRDefault="00A92EA1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254195" w:rsidRPr="00B86520" w14:paraId="43A53929" w14:textId="77777777" w:rsidTr="00A92EA1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B61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C6197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48896A6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8D18D5E" w14:textId="77777777" w:rsidR="008E1FD3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CAC2656" w14:textId="627976DB" w:rsidR="00254195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797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61B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45F4FB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82E55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582F771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5642F" w14:textId="77777777" w:rsidR="00254195" w:rsidRDefault="00254195" w:rsidP="002601D3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5B227F85" w14:textId="3BC143B4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254195" w:rsidRPr="00B86520" w14:paraId="7ECB051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8EABB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1F42" w14:textId="77777777" w:rsidR="00254195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05E72CE" w14:textId="69C30755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7352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189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6BAAB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48073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1704765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EA93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E211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8F4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4DB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E603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717CC4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ED227A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47E4B" w14:textId="6FBCAD60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DE687" w14:textId="62C49659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1965E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7F5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2D36A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B96880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693C44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CCA70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342EF491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63F2713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9AB29" w14:textId="4A2938D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680F0C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1E162052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29EE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48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A654D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125278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7B2D89F6" w14:textId="77777777" w:rsidTr="00A92EA1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A6CA" w14:textId="2A77A82B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777D" w14:textId="165FF909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008C3AA" w14:textId="563E3CDC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70EA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D1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B6B88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3D0C5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4488D687" w14:textId="77777777" w:rsidTr="00A92EA1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299A8" w14:textId="4B7B355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D7C19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EC28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307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7568B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3F681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120557CC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ADE45" w14:textId="7AE186FD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DE61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1D9B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88D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5347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3E2E20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606A55B3" w14:textId="77777777" w:rsidTr="00A92EA1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5E441" w14:textId="39048502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285D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4E55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085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54CA62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8E269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5CE4CC9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6A9BD" w14:textId="7D6F632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A9F35" w14:textId="353CEA86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AB58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FC7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D9E48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3FF6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13C144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97161" w14:textId="7CFDF89C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F7CB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9F14B16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A381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FE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F7508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CF92B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E9EAC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3B30D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258D4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57BFE18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0114" w14:textId="36376206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33102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2AC0447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CD6A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41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25C0D7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7C33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FF92A53" w14:textId="77777777" w:rsidTr="00A92EA1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CCEE9" w14:textId="05B842A5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DAC80A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E390A2A" w14:textId="746BCBEE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7C1B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5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6068C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449D83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0F89F13" w14:textId="77777777" w:rsidTr="00A92EA1">
        <w:trPr>
          <w:trHeight w:val="38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9724A" w14:textId="08E16BD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026D4F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81CC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F20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823B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131723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E8AE759" w14:textId="77777777" w:rsidTr="00A92EA1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B5A9E" w14:textId="4AF2DDEA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03A8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1941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5B1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39E8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9C4D0C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64441BD" w14:textId="77777777" w:rsidTr="00A92EA1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9EE85" w14:textId="6238266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005B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08D79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81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4D0420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480A4F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4AEC967" w14:textId="77777777" w:rsidTr="00A92EA1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9AAC21" w14:textId="1F2754A8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A37DD" w14:textId="42E76CD3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CC17C3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CE1D3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5BB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27E676C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65277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F9D84A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1426B" w14:textId="4346B28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0DE01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35A5DF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CD3D2ED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4FB42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FEC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41049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58F43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9AD617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7982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3D949F3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6B69CCD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0F390" w14:textId="0A3C5AD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CB346" w14:textId="77777777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B468E12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53C4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483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8B26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E407F8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35819FF3" w14:textId="77777777" w:rsidTr="00A92EA1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429AC" w14:textId="487488A5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1F961B" w14:textId="2CB1AC13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6CE75DA" w14:textId="265AFE79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29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DBA4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50FF1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B57E1E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F4ADE1D" w14:textId="77777777" w:rsidTr="00A92EA1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208FD" w14:textId="6A8D6341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FB857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FA0B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A44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A2E38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A371C70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100B4790" w14:textId="77777777" w:rsidTr="00A92EA1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7C7D1" w14:textId="4D25A92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96920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2E6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38A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F20A8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2EE03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DC243F7" w14:textId="77777777" w:rsidTr="00A92EA1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52526" w14:textId="38D61BC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EE15E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8C6B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2B5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CFBC8C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518E0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4EFAE3C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B60EA8" w14:textId="08F44B08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D2F28" w14:textId="1EEF2C0E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6C93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A82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85CDF7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F5EFB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EB552B9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11307" w14:textId="5879C6C3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39CD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AE44E14" w14:textId="77777777" w:rsidR="00254195" w:rsidRPr="007F350C" w:rsidRDefault="00254195" w:rsidP="00254195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41FA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CB1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70429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CB7B55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9843976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38E47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14:paraId="0DE5F21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1B1087C1" w14:textId="77777777" w:rsidTr="00A92EA1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D420D" w14:textId="52CB111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BD2EC" w14:textId="535B688F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RO-31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79EA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3E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184DD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702A3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2BD71D75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4AFAF" w14:textId="74C7218B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7D18FF" w14:textId="470631A9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4D65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8A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4308C8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8B4B5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C75FFC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1CFD7" w14:textId="74E06EF2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C7F2B" w14:textId="53AC02C6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779C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830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C9DB0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7E3E2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D95E35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1571F" w14:textId="08F352B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80917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1A67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581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D8CF01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2E31B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28E9C490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E51CC" w14:textId="77777777" w:rsidR="00254195" w:rsidRPr="00D31934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53D4E1DD" w14:textId="77777777" w:rsidR="00254195" w:rsidRPr="007F350C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5D08F2" w:rsidRPr="00B86520" w14:paraId="7136AF9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683A8" w14:textId="79B97984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59879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74EF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5BF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CCBBA1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AF2BF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3F2B6E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B46A4" w14:textId="5B77B5E3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1D520" w14:textId="2F337B39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DOCUMENTO TIVER PERDIDO A VALIDADE E OBRA ESTIVER EM EXECUÇÃO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E9F46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141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8D8CBA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009D31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47B405B0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6058B8" w14:textId="1A89A5E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8824C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B841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29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A2E24B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7425B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0249644" w14:textId="77777777" w:rsidTr="00A92EA1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AFD96" w14:textId="2DAE39A1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F5CBA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74C5215C" w14:textId="77777777" w:rsidR="005D08F2" w:rsidRPr="00E157B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DC5C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B3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2B313B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B07AA7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3936704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57728" w14:textId="0FE59D7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D92C2B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A806A60" w14:textId="5A55AFE9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DCF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677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539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DA37A3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F458D50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3EDA7" w14:textId="76D7D9F7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20FA68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3340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4A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6796D9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B6D68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294F29B" w14:textId="77777777" w:rsidTr="00A92EA1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AE7AA" w14:textId="51D1C7D9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6480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674F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C63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FE762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C06F94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9B23304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BDC6D" w14:textId="77ECB80E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503E9" w14:textId="350C13C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3E71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81A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C8A5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4E4D45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8F34A26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C0981" w14:textId="3EFC064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06890" w14:textId="24A693D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850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9AE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5AE5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8DD32D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EDF747E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085EB" w14:textId="2582C646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E7AB6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D9CC998" w14:textId="7E8826C4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EA8D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BA5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2C4FA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F9A94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681379F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4B0A2" w14:textId="4E995D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90CCB" w14:textId="1648AD2C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>) relativa(o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) à alteração do</w:t>
            </w:r>
            <w:r w:rsidR="009D0C90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projeto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CAEB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D28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F78C9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D946E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7073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FC1B4" w14:textId="2BD3D513" w:rsidR="005D08F2" w:rsidRPr="007F350C" w:rsidRDefault="002601D3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  <w:r w:rsidR="009D0C9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6E24B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0EECA89" w14:textId="7AD3BD6C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CBF0B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13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31130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2B3D1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2E5A4C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DAB22" w14:textId="7BB6FEE2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6B1910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D28E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A7D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262BED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140647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308333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7563F" w14:textId="365D223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A25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52D0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AF8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9065C9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41A7C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955415D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6373C" w14:textId="2DF619B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6B041" w14:textId="478C572B" w:rsidR="005D08F2" w:rsidRPr="002601D3" w:rsidRDefault="005D08F2" w:rsidP="002601D3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4B21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D5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0E6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660C43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E036F2A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94129" w14:textId="6DF8D70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59A76" w14:textId="77777777" w:rsidR="005D08F2" w:rsidRPr="007F350C" w:rsidRDefault="005D08F2" w:rsidP="005D08F2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254195" w:rsidRPr="00B86520" w14:paraId="23291319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C975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6D2D4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C9E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C0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3333AF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F6A7C2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31EE320" w14:textId="77777777" w:rsidTr="00A92EA1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E6B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B5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254195" w:rsidRPr="00B86520" w14:paraId="16C941F6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C43B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F0F36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B75FE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6D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9F30AB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BEE79F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DA1C11C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4364F" w14:textId="7E5DE92D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45A87" w14:textId="77777777" w:rsidR="00254195" w:rsidRPr="007F350C" w:rsidRDefault="00254195" w:rsidP="002541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254195" w:rsidRPr="00B86520" w14:paraId="1A4D2A48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A47BB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EB4D1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0B6E46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23DA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3CA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F041FC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C447BC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5D2B8F4" w14:textId="77777777" w:rsidTr="00A92EA1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BCD6C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63BA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00778FDE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E2F1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0BBDA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7A36CC4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3908920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4AE95602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56C3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3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79CC09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3946F1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91BE5B" w14:textId="77777777" w:rsidTr="00A92EA1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6F372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60DF2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54195" w:rsidRPr="00B86520" w14:paraId="09F6DE0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0A7E1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51384" w14:textId="77777777" w:rsidR="00254195" w:rsidRPr="00B86520" w:rsidRDefault="00254195" w:rsidP="00254195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B7A924F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BB4F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5B6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9D495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12814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632F146A" w14:textId="77777777" w:rsidTr="00A92EA1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A7AF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AD44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EB6120D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F182D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F3EE1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C10F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65D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42EDB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1A5BF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E2AA113" w14:textId="77777777" w:rsidTr="00A92EA1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DF795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E680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CAA1BA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2348A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6556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7C8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A74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B8926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0D669E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DE058D8" w14:textId="77777777" w:rsidTr="00A92EA1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4F513" w14:textId="73C7680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A8DFA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6D592E0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A707A29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380B481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3DA7CD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42B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A7F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C1CC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4F7B4D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32BD22AC" w14:textId="77777777" w:rsidR="00A92EA1" w:rsidRDefault="00A92EA1" w:rsidP="00A92EA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ACEDFA1" w14:textId="5D65F229" w:rsidR="004003D4" w:rsidRDefault="004003D4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A09E4" w14:textId="57B036BB" w:rsidR="00664D03" w:rsidRPr="00FC0BB2" w:rsidRDefault="00664D03" w:rsidP="00664D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03" w:rsidRPr="00FC0BB2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279B9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31579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70817"/>
    <w:rsid w:val="00B84320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97FAE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168E3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C0BB2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8DF3-8972-4D30-9878-AD8E1B4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2021-07-28T01:41:00Z</dcterms:created>
  <dcterms:modified xsi:type="dcterms:W3CDTF">2021-07-28T01:41:00Z</dcterms:modified>
</cp:coreProperties>
</file>